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t xml:space="preserve">WerkCV · Eisenmatrix kandidaat aanbieden bij de overheid</w:t>
      </w:r>
    </w:p>
    <w:p>
      <w:pPr>
        <w:pStyle w:val="Subtitle"/>
      </w:pPr>
      <w:r>
        <w:t xml:space="preserve">Volledig fictief voorbeeld — kandidaat, organisatie, opdracht en CV-inhoud zijn verzonnen.</w:t>
      </w:r>
    </w:p>
    <w:p>
      <w:pPr>
        <w:pStyle w:val="Normal"/>
      </w:pPr>
      <w:r>
        <w:t xml:space="preserve">Gebruik deze matrix om iedere eis aan een exact CV-fragment, een expliciet open punt of afzonderlijke kandidaatbevestiging te koppelen. Een status beschrijft alleen de bronrelatie; het is geen oordeel over waarheid, identiteit, geschiktheid of acceptatie.</w:t>
      </w:r>
    </w:p>
    <w:p>
      <w:pPr>
        <w:pStyle w:val="Heading1"/>
      </w:pPr>
      <w:r>
        <w:t xml:space="preserve">Eisenmatrix</w:t>
      </w:r>
    </w:p>
    <w:tbl>
      <w:tblPr>
        <w:tblLayout w:type="fixed"/>
        <w:tblBorders>
          <w:top w:val="single" w:sz="4" w:color="CBD5D1"/>
          <w:left w:val="single" w:sz="4" w:color="CBD5D1"/>
          <w:bottom w:val="single" w:sz="4" w:color="CBD5D1"/>
          <w:right w:val="single" w:sz="4" w:color="CBD5D1"/>
          <w:insideH w:val="single" w:sz="4" w:color="CBD5D1"/>
          <w:insideV w:val="single" w:sz="4" w:color="CBD5D1"/>
        </w:tblBorders>
      </w:tblPr>
      <w:tr>
        <w:tc>
          <w:tcPr>
            <w:shd w:fill="0F3D36"/>
            <w:tcMar>
              <w:top w:w="60" w:type="dxa"/>
              <w:start w:w="60" w:type="dxa"/>
              <w:bottom w:w="60" w:type="dxa"/>
              <w:end w:w="60" w:type="dxa"/>
            </w:tcMar>
          </w:tcPr>
          <w:p>
            <w:r>
              <w:rPr>
                <w:sz w:val="13"/>
                <w:color w:val="FFFFFF"/>
                <w:b/>
              </w:rPr>
              <w:t xml:space="preserve">Requirement number</w:t>
            </w:r>
          </w:p>
        </w:tc>
        <w:tc>
          <w:tcPr>
            <w:shd w:fill="0F3D36"/>
            <w:tcMar>
              <w:top w:w="60" w:type="dxa"/>
              <w:start w:w="60" w:type="dxa"/>
              <w:bottom w:w="60" w:type="dxa"/>
              <w:end w:w="60" w:type="dxa"/>
            </w:tcMar>
          </w:tcPr>
          <w:p>
            <w:r>
              <w:rPr>
                <w:sz w:val="13"/>
                <w:color w:val="FFFFFF"/>
                <w:b/>
              </w:rPr>
              <w:t xml:space="preserve">Exact requirement</w:t>
            </w:r>
          </w:p>
        </w:tc>
        <w:tc>
          <w:tcPr>
            <w:shd w:fill="0F3D36"/>
            <w:tcMar>
              <w:top w:w="60" w:type="dxa"/>
              <w:start w:w="60" w:type="dxa"/>
              <w:bottom w:w="60" w:type="dxa"/>
              <w:end w:w="60" w:type="dxa"/>
            </w:tcMar>
          </w:tcPr>
          <w:p>
            <w:r>
              <w:rPr>
                <w:sz w:val="13"/>
                <w:color w:val="FFFFFF"/>
                <w:b/>
              </w:rPr>
              <w:t xml:space="preserve">Requirement type</w:t>
            </w:r>
          </w:p>
        </w:tc>
        <w:tc>
          <w:tcPr>
            <w:shd w:fill="0F3D36"/>
            <w:tcMar>
              <w:top w:w="60" w:type="dxa"/>
              <w:start w:w="60" w:type="dxa"/>
              <w:bottom w:w="60" w:type="dxa"/>
              <w:end w:w="60" w:type="dxa"/>
            </w:tcMar>
          </w:tcPr>
          <w:p>
            <w:r>
              <w:rPr>
                <w:sz w:val="13"/>
                <w:color w:val="FFFFFF"/>
                <w:b/>
              </w:rPr>
              <w:t xml:space="preserve">Proposed client-facing claim</w:t>
            </w:r>
          </w:p>
        </w:tc>
        <w:tc>
          <w:tcPr>
            <w:shd w:fill="0F3D36"/>
            <w:tcMar>
              <w:top w:w="60" w:type="dxa"/>
              <w:start w:w="60" w:type="dxa"/>
              <w:bottom w:w="60" w:type="dxa"/>
              <w:end w:w="60" w:type="dxa"/>
            </w:tcMar>
          </w:tcPr>
          <w:p>
            <w:r>
              <w:rPr>
                <w:sz w:val="13"/>
                <w:color w:val="FFFFFF"/>
                <w:b/>
              </w:rPr>
              <w:t xml:space="preserve">Exact CV evidence</w:t>
            </w:r>
          </w:p>
        </w:tc>
        <w:tc>
          <w:tcPr>
            <w:shd w:fill="0F3D36"/>
            <w:tcMar>
              <w:top w:w="60" w:type="dxa"/>
              <w:start w:w="60" w:type="dxa"/>
              <w:bottom w:w="60" w:type="dxa"/>
              <w:end w:w="60" w:type="dxa"/>
            </w:tcMar>
          </w:tcPr>
          <w:p>
            <w:r>
              <w:rPr>
                <w:sz w:val="13"/>
                <w:color w:val="FFFFFF"/>
                <w:b/>
              </w:rPr>
              <w:t xml:space="preserve">Source page/section</w:t>
            </w:r>
          </w:p>
        </w:tc>
        <w:tc>
          <w:tcPr>
            <w:shd w:fill="0F3D36"/>
            <w:tcMar>
              <w:top w:w="60" w:type="dxa"/>
              <w:start w:w="60" w:type="dxa"/>
              <w:bottom w:w="60" w:type="dxa"/>
              <w:end w:w="60" w:type="dxa"/>
            </w:tcMar>
          </w:tcPr>
          <w:p>
            <w:r>
              <w:rPr>
                <w:sz w:val="13"/>
                <w:color w:val="FFFFFF"/>
                <w:b/>
              </w:rPr>
              <w:t xml:space="preserve">Evidence status</w:t>
            </w:r>
          </w:p>
        </w:tc>
        <w:tc>
          <w:tcPr>
            <w:shd w:fill="0F3D36"/>
            <w:tcMar>
              <w:top w:w="60" w:type="dxa"/>
              <w:start w:w="60" w:type="dxa"/>
              <w:bottom w:w="60" w:type="dxa"/>
              <w:end w:w="60" w:type="dxa"/>
            </w:tcMar>
          </w:tcPr>
          <w:p>
            <w:r>
              <w:rPr>
                <w:sz w:val="13"/>
                <w:color w:val="FFFFFF"/>
                <w:b/>
              </w:rPr>
              <w:t xml:space="preserve">Risk or gap</w:t>
            </w:r>
          </w:p>
        </w:tc>
        <w:tc>
          <w:tcPr>
            <w:shd w:fill="0F3D36"/>
            <w:tcMar>
              <w:top w:w="60" w:type="dxa"/>
              <w:start w:w="60" w:type="dxa"/>
              <w:bottom w:w="60" w:type="dxa"/>
              <w:end w:w="60" w:type="dxa"/>
            </w:tcMar>
          </w:tcPr>
          <w:p>
            <w:r>
              <w:rPr>
                <w:sz w:val="13"/>
                <w:color w:val="FFFFFF"/>
                <w:b/>
              </w:rPr>
              <w:t xml:space="preserve">Candidate confirmation needed</w:t>
            </w:r>
          </w:p>
        </w:tc>
        <w:tc>
          <w:tcPr>
            <w:shd w:fill="0F3D36"/>
            <w:tcMar>
              <w:top w:w="60" w:type="dxa"/>
              <w:start w:w="60" w:type="dxa"/>
              <w:bottom w:w="60" w:type="dxa"/>
              <w:end w:w="60" w:type="dxa"/>
            </w:tcMar>
          </w:tcPr>
          <w:p>
            <w:r>
              <w:rPr>
                <w:sz w:val="13"/>
                <w:color w:val="FFFFFF"/>
                <w:b/>
              </w:rPr>
              <w:t xml:space="preserve">Recruiter disposition</w:t>
            </w:r>
          </w:p>
        </w:tc>
        <w:tc>
          <w:tcPr>
            <w:shd w:fill="0F3D36"/>
            <w:tcMar>
              <w:top w:w="60" w:type="dxa"/>
              <w:start w:w="60" w:type="dxa"/>
              <w:bottom w:w="60" w:type="dxa"/>
              <w:end w:w="60" w:type="dxa"/>
            </w:tcMar>
          </w:tcPr>
          <w:p>
            <w:r>
              <w:rPr>
                <w:sz w:val="13"/>
                <w:color w:val="FFFFFF"/>
                <w:b/>
              </w:rPr>
              <w:t xml:space="preserve">Reviewer</w:t>
            </w:r>
          </w:p>
        </w:tc>
        <w:tc>
          <w:tcPr>
            <w:shd w:fill="0F3D36"/>
            <w:tcMar>
              <w:top w:w="60" w:type="dxa"/>
              <w:start w:w="60" w:type="dxa"/>
              <w:bottom w:w="60" w:type="dxa"/>
              <w:end w:w="60" w:type="dxa"/>
            </w:tcMar>
          </w:tcPr>
          <w:p>
            <w:r>
              <w:rPr>
                <w:sz w:val="13"/>
                <w:color w:val="FFFFFF"/>
                <w:b/>
              </w:rPr>
              <w:t xml:space="preserve">Review date</w:t>
            </w:r>
          </w:p>
        </w:tc>
        <w:tc>
          <w:tcPr>
            <w:shd w:fill="0F3D36"/>
            <w:tcMar>
              <w:top w:w="60" w:type="dxa"/>
              <w:start w:w="60" w:type="dxa"/>
              <w:bottom w:w="60" w:type="dxa"/>
              <w:end w:w="60" w:type="dxa"/>
            </w:tcMar>
          </w:tcPr>
          <w:p>
            <w:r>
              <w:rPr>
                <w:sz w:val="13"/>
                <w:color w:val="FFFFFF"/>
                <w:b/>
              </w:rPr>
              <w:t xml:space="preserve">Next action</w:t>
            </w:r>
          </w:p>
        </w:tc>
      </w:tr>
      <w:tr>
        <w:tc>
          <w:tcPr>
            <w:shd w:fill="F7FAF8"/>
            <w:tcMar>
              <w:top w:w="60" w:type="dxa"/>
              <w:start w:w="60" w:type="dxa"/>
              <w:bottom w:w="60" w:type="dxa"/>
              <w:end w:w="60" w:type="dxa"/>
            </w:tcMar>
          </w:tcPr>
          <w:p>
            <w:r>
              <w:rPr>
                <w:sz w:val="12"/>
                <w:color w:val="17211F"/>
              </w:rPr>
              <w:t xml:space="preserve">—</w:t>
            </w:r>
          </w:p>
        </w:tc>
        <w:tc>
          <w:tcPr>
            <w:shd w:fill="F7FAF8"/>
            <w:tcMar>
              <w:top w:w="60" w:type="dxa"/>
              <w:start w:w="60" w:type="dxa"/>
              <w:bottom w:w="60" w:type="dxa"/>
              <w:end w:w="60" w:type="dxa"/>
            </w:tcMar>
          </w:tcPr>
          <w:p>
            <w:r>
              <w:rPr>
                <w:sz w:val="12"/>
                <w:color w:val="17211F"/>
              </w:rPr>
              <w:t xml:space="preserve">—</w:t>
            </w:r>
          </w:p>
        </w:tc>
        <w:tc>
          <w:tcPr>
            <w:shd w:fill="F7FAF8"/>
            <w:tcMar>
              <w:top w:w="60" w:type="dxa"/>
              <w:start w:w="60" w:type="dxa"/>
              <w:bottom w:w="60" w:type="dxa"/>
              <w:end w:w="60" w:type="dxa"/>
            </w:tcMar>
          </w:tcPr>
          <w:p>
            <w:r>
              <w:rPr>
                <w:sz w:val="12"/>
                <w:color w:val="17211F"/>
              </w:rPr>
              <w:t xml:space="preserve">—</w:t>
            </w:r>
          </w:p>
        </w:tc>
        <w:tc>
          <w:tcPr>
            <w:shd w:fill="F7FAF8"/>
            <w:tcMar>
              <w:top w:w="60" w:type="dxa"/>
              <w:start w:w="60" w:type="dxa"/>
              <w:bottom w:w="60" w:type="dxa"/>
              <w:end w:w="60" w:type="dxa"/>
            </w:tcMar>
          </w:tcPr>
          <w:p>
            <w:r>
              <w:rPr>
                <w:sz w:val="12"/>
                <w:color w:val="17211F"/>
              </w:rPr>
              <w:t xml:space="preserve">—</w:t>
            </w:r>
          </w:p>
        </w:tc>
        <w:tc>
          <w:tcPr>
            <w:shd w:fill="F7FAF8"/>
            <w:tcMar>
              <w:top w:w="60" w:type="dxa"/>
              <w:start w:w="60" w:type="dxa"/>
              <w:bottom w:w="60" w:type="dxa"/>
              <w:end w:w="60" w:type="dxa"/>
            </w:tcMar>
          </w:tcPr>
          <w:p>
            <w:r>
              <w:rPr>
                <w:sz w:val="12"/>
                <w:color w:val="17211F"/>
              </w:rPr>
              <w:t xml:space="preserve">—</w:t>
            </w:r>
          </w:p>
        </w:tc>
        <w:tc>
          <w:tcPr>
            <w:shd w:fill="F7FAF8"/>
            <w:tcMar>
              <w:top w:w="60" w:type="dxa"/>
              <w:start w:w="60" w:type="dxa"/>
              <w:bottom w:w="60" w:type="dxa"/>
              <w:end w:w="60" w:type="dxa"/>
            </w:tcMar>
          </w:tcPr>
          <w:p>
            <w:r>
              <w:rPr>
                <w:sz w:val="12"/>
                <w:color w:val="17211F"/>
              </w:rPr>
              <w:t xml:space="preserve">—</w:t>
            </w:r>
          </w:p>
        </w:tc>
        <w:tc>
          <w:tcPr>
            <w:shd w:fill="F7FAF8"/>
            <w:tcMar>
              <w:top w:w="60" w:type="dxa"/>
              <w:start w:w="60" w:type="dxa"/>
              <w:bottom w:w="60" w:type="dxa"/>
              <w:end w:w="60" w:type="dxa"/>
            </w:tcMar>
          </w:tcPr>
          <w:p>
            <w:r>
              <w:rPr>
                <w:sz w:val="12"/>
                <w:color w:val="17211F"/>
              </w:rPr>
              <w:t xml:space="preserve">—</w:t>
            </w:r>
          </w:p>
        </w:tc>
        <w:tc>
          <w:tcPr>
            <w:shd w:fill="F7FAF8"/>
            <w:tcMar>
              <w:top w:w="60" w:type="dxa"/>
              <w:start w:w="60" w:type="dxa"/>
              <w:bottom w:w="60" w:type="dxa"/>
              <w:end w:w="60" w:type="dxa"/>
            </w:tcMar>
          </w:tcPr>
          <w:p>
            <w:r>
              <w:rPr>
                <w:sz w:val="12"/>
                <w:color w:val="17211F"/>
              </w:rPr>
              <w:t xml:space="preserve">—</w:t>
            </w:r>
          </w:p>
        </w:tc>
        <w:tc>
          <w:tcPr>
            <w:shd w:fill="F7FAF8"/>
            <w:tcMar>
              <w:top w:w="60" w:type="dxa"/>
              <w:start w:w="60" w:type="dxa"/>
              <w:bottom w:w="60" w:type="dxa"/>
              <w:end w:w="60" w:type="dxa"/>
            </w:tcMar>
          </w:tcPr>
          <w:p>
            <w:r>
              <w:rPr>
                <w:sz w:val="12"/>
                <w:color w:val="17211F"/>
              </w:rPr>
              <w:t xml:space="preserve">—</w:t>
            </w:r>
          </w:p>
        </w:tc>
        <w:tc>
          <w:tcPr>
            <w:shd w:fill="F7FAF8"/>
            <w:tcMar>
              <w:top w:w="60" w:type="dxa"/>
              <w:start w:w="60" w:type="dxa"/>
              <w:bottom w:w="60" w:type="dxa"/>
              <w:end w:w="60" w:type="dxa"/>
            </w:tcMar>
          </w:tcPr>
          <w:p>
            <w:r>
              <w:rPr>
                <w:sz w:val="12"/>
                <w:color w:val="17211F"/>
              </w:rPr>
              <w:t xml:space="preserve">—</w:t>
            </w:r>
          </w:p>
        </w:tc>
        <w:tc>
          <w:tcPr>
            <w:shd w:fill="F7FAF8"/>
            <w:tcMar>
              <w:top w:w="60" w:type="dxa"/>
              <w:start w:w="60" w:type="dxa"/>
              <w:bottom w:w="60" w:type="dxa"/>
              <w:end w:w="60" w:type="dxa"/>
            </w:tcMar>
          </w:tcPr>
          <w:p>
            <w:r>
              <w:rPr>
                <w:sz w:val="12"/>
                <w:color w:val="17211F"/>
              </w:rPr>
              <w:t xml:space="preserve">—</w:t>
            </w:r>
          </w:p>
        </w:tc>
        <w:tc>
          <w:tcPr>
            <w:shd w:fill="F7FAF8"/>
            <w:tcMar>
              <w:top w:w="60" w:type="dxa"/>
              <w:start w:w="60" w:type="dxa"/>
              <w:bottom w:w="60" w:type="dxa"/>
              <w:end w:w="60" w:type="dxa"/>
            </w:tcMar>
          </w:tcPr>
          <w:p>
            <w:r>
              <w:rPr>
                <w:sz w:val="12"/>
                <w:color w:val="17211F"/>
              </w:rPr>
              <w:t xml:space="preserve">—</w:t>
            </w:r>
          </w:p>
        </w:tc>
        <w:tc>
          <w:tcPr>
            <w:shd w:fill="F7FAF8"/>
            <w:tcMar>
              <w:top w:w="60" w:type="dxa"/>
              <w:start w:w="60" w:type="dxa"/>
              <w:bottom w:w="60" w:type="dxa"/>
              <w:end w:w="60" w:type="dxa"/>
            </w:tcMar>
          </w:tcPr>
          <w:p>
            <w:r>
              <w:rPr>
                <w:sz w:val="12"/>
                <w:color w:val="17211F"/>
              </w:rPr>
              <w:t xml:space="preserve">—</w:t>
            </w:r>
          </w:p>
        </w:tc>
      </w:tr>
    </w:tbl>
    <w:p>
      <w:pPr>
        <w:pStyle w:val="Heading1"/>
      </w:pPr>
      <w:r>
        <w:t xml:space="preserve">Pre-send controle</w:t>
      </w:r>
    </w:p>
    <w:p>
      <w:pPr>
        <w:pStyle w:val="Normal"/>
      </w:pPr>
      <w:r>
        <w:t xml:space="preserve">Controleer werkgevers, projecten, perioden, getallen, actuele beschikbaarheid, tarief, outputvariant, ontvanger en de actuele instructies van het gebruikte overheidsportaal. De recruiter blijft verantwoordelijk voor de uiteindelijke inhoud en beslissing om te delen.</w:t>
      </w:r>
    </w:p>
    <w:sectPr>
      <w:pgSz w:w="16838" w:h="11906" w:orient="landscape"/>
      <w:pgMar w:top="720" w:right="540" w:bottom="720" w:left="540"/>
    </w:sectPr>
  </w:body>
</w:document>
</file>

<file path=word/styles.xml><?xml version="1.0" encoding="utf-8"?>
<w:styles xmlns:w="http://schemas.openxmlformats.org/wordprocessingml/2006/main">
  <w:style w:type="paragraph" w:default="1" w:styleId="Normal">
    <w:name w:val="Normal"/>
    <w:rPr>
      <w:sz w:val="20"/>
      <w:szCs w:val="20"/>
      <w:color w:val="17211F"/>
      <w:rFonts w:ascii="Arial" w:hAnsi="Arial"/>
    </w:rPr>
  </w:style>
  <w:style w:type="paragraph" w:styleId="Title">
    <w:name w:val="Title"/>
    <w:basedOn w:val="Normal"/>
    <w:rPr>
      <w:b/>
      <w:sz w:val="34"/>
      <w:color w:val="0F3D36"/>
    </w:rPr>
  </w:style>
  <w:style w:type="paragraph" w:styleId="Subtitle">
    <w:name w:val="Subtitle"/>
    <w:basedOn w:val="Normal"/>
    <w:rPr>
      <w:b/>
      <w:sz w:val="20"/>
      <w:color w:val="B45309"/>
    </w:rPr>
  </w:style>
  <w:style w:type="paragraph" w:styleId="Heading1">
    <w:name w:val="heading 1"/>
    <w:basedOn w:val="Normal"/>
    <w:rPr>
      <w:b/>
      <w:sz w:val="26"/>
      <w:color w:val="0F3D36"/>
    </w:rPr>
  </w:style>
</w:styles>
</file>